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32DE6">
        <w:rPr>
          <w:sz w:val="24"/>
          <w:szCs w:val="24"/>
        </w:rPr>
        <w:t>2</w:t>
      </w:r>
      <w:r w:rsidR="00DC72EF">
        <w:rPr>
          <w:sz w:val="24"/>
          <w:szCs w:val="24"/>
        </w:rPr>
        <w:t>5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DC72EF">
        <w:rPr>
          <w:sz w:val="24"/>
          <w:szCs w:val="24"/>
        </w:rPr>
        <w:t>1</w:t>
      </w:r>
      <w:r w:rsidR="00AF0BA2">
        <w:rPr>
          <w:sz w:val="24"/>
          <w:szCs w:val="24"/>
        </w:rPr>
        <w:t>2</w:t>
      </w:r>
      <w:r w:rsidR="009A77E9">
        <w:rPr>
          <w:sz w:val="24"/>
          <w:szCs w:val="24"/>
        </w:rPr>
        <w:t xml:space="preserve"> de </w:t>
      </w:r>
      <w:r w:rsidR="00DC72EF">
        <w:rPr>
          <w:sz w:val="24"/>
          <w:szCs w:val="24"/>
        </w:rPr>
        <w:t>abril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764ABD" w:rsidRDefault="0076685E" w:rsidP="00764ABD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285FE8" w:rsidRDefault="00532178" w:rsidP="00285FE8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DC72EF" w:rsidRPr="0047077E" w:rsidTr="00917BEB">
        <w:trPr>
          <w:trHeight w:val="187"/>
        </w:trPr>
        <w:tc>
          <w:tcPr>
            <w:tcW w:w="2268" w:type="dxa"/>
          </w:tcPr>
          <w:p w:rsidR="00DC72EF" w:rsidRPr="0047077E" w:rsidRDefault="00DC72EF" w:rsidP="009258F1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DC72EF" w:rsidRPr="0047077E" w:rsidRDefault="00DC72EF" w:rsidP="009258F1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DC72EF" w:rsidRPr="0047077E" w:rsidTr="00917BEB">
        <w:trPr>
          <w:trHeight w:val="199"/>
        </w:trPr>
        <w:tc>
          <w:tcPr>
            <w:tcW w:w="2268" w:type="dxa"/>
          </w:tcPr>
          <w:p w:rsidR="00DC72EF" w:rsidRPr="0047077E" w:rsidRDefault="00DC72EF" w:rsidP="009258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0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DC72EF" w:rsidRPr="0047077E" w:rsidRDefault="00DC72EF" w:rsidP="009258F1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DC72EF" w:rsidRPr="0047077E" w:rsidTr="00917BEB">
        <w:trPr>
          <w:trHeight w:val="199"/>
        </w:trPr>
        <w:tc>
          <w:tcPr>
            <w:tcW w:w="2268" w:type="dxa"/>
          </w:tcPr>
          <w:p w:rsidR="00DC72EF" w:rsidRPr="0047077E" w:rsidRDefault="00DC72EF" w:rsidP="009258F1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Sede</w:t>
            </w:r>
          </w:p>
        </w:tc>
        <w:tc>
          <w:tcPr>
            <w:tcW w:w="850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DC72EF" w:rsidRPr="0047077E" w:rsidRDefault="00DC72EF" w:rsidP="009258F1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DC72EF" w:rsidRPr="0047077E" w:rsidTr="00917BEB">
        <w:trPr>
          <w:trHeight w:val="199"/>
        </w:trPr>
        <w:tc>
          <w:tcPr>
            <w:tcW w:w="2268" w:type="dxa"/>
          </w:tcPr>
          <w:p w:rsidR="00DC72EF" w:rsidRPr="0047077E" w:rsidRDefault="00DC72EF" w:rsidP="009258F1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0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DC72EF" w:rsidRPr="0047077E" w:rsidRDefault="00DC72EF" w:rsidP="009258F1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DC72EF" w:rsidRPr="0047077E" w:rsidTr="00917BEB">
        <w:trPr>
          <w:trHeight w:val="248"/>
        </w:trPr>
        <w:tc>
          <w:tcPr>
            <w:tcW w:w="2268" w:type="dxa"/>
          </w:tcPr>
          <w:p w:rsidR="00DC72EF" w:rsidRDefault="00DC72EF" w:rsidP="009258F1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0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DC72EF" w:rsidRDefault="00DC72EF" w:rsidP="009258F1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DC72EF" w:rsidRPr="0047077E" w:rsidTr="00917BEB">
        <w:trPr>
          <w:trHeight w:val="248"/>
        </w:trPr>
        <w:tc>
          <w:tcPr>
            <w:tcW w:w="2268" w:type="dxa"/>
          </w:tcPr>
          <w:p w:rsidR="00DC72EF" w:rsidRDefault="00DC72EF" w:rsidP="009258F1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0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DC72EF" w:rsidRDefault="00DC72EF" w:rsidP="009258F1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1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DC72EF" w:rsidRPr="0047077E" w:rsidTr="00917BEB">
        <w:trPr>
          <w:trHeight w:val="248"/>
        </w:trPr>
        <w:tc>
          <w:tcPr>
            <w:tcW w:w="2268" w:type="dxa"/>
          </w:tcPr>
          <w:p w:rsidR="00DC72EF" w:rsidRDefault="00DC72EF" w:rsidP="009258F1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DC72EF" w:rsidRDefault="00DC72EF" w:rsidP="009258F1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DC72EF" w:rsidRDefault="009258F1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DC72EF" w:rsidP="00917BEB">
            <w:pPr>
              <w:pStyle w:val="NormalWeb"/>
              <w:jc w:val="center"/>
              <w:textAlignment w:val="top"/>
            </w:pPr>
            <w:r>
              <w:t>CD Élite</w:t>
            </w:r>
          </w:p>
        </w:tc>
        <w:tc>
          <w:tcPr>
            <w:tcW w:w="3827" w:type="dxa"/>
            <w:gridSpan w:val="3"/>
          </w:tcPr>
          <w:p w:rsidR="00285FE8" w:rsidRDefault="00285FE8" w:rsidP="008F34F6">
            <w:pPr>
              <w:pStyle w:val="NormalWeb"/>
              <w:textAlignment w:val="top"/>
            </w:pPr>
            <w:r>
              <w:t xml:space="preserve">   </w:t>
            </w:r>
            <w:r w:rsidR="008F34F6">
              <w:t>d</w:t>
            </w:r>
            <w:r>
              <w:t>escansa</w:t>
            </w:r>
          </w:p>
        </w:tc>
      </w:tr>
    </w:tbl>
    <w:p w:rsidR="00CA51E2" w:rsidRDefault="00285FE8" w:rsidP="00CA51E2">
      <w:pPr>
        <w:ind w:left="851" w:hanging="491"/>
      </w:pPr>
      <w:r>
        <w:t xml:space="preserve">       </w:t>
      </w:r>
    </w:p>
    <w:p w:rsidR="008B51CF" w:rsidRDefault="008B51CF" w:rsidP="00B4112C">
      <w:pPr>
        <w:ind w:left="708"/>
      </w:pPr>
    </w:p>
    <w:p w:rsidR="00764ABD" w:rsidRDefault="00764ABD" w:rsidP="00764ABD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4E5B60" w:rsidRDefault="004E5B60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1D56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2156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9258F1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AB19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Default="009258F1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Default="009258F1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Default="009258F1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C24C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614ED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614ED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Pr="00CC55C6" w:rsidRDefault="009258F1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</w:tr>
      <w:tr w:rsidR="009258F1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F1" w:rsidRDefault="009258F1" w:rsidP="00614ED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Default="009258F1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8F1" w:rsidRPr="00CC55C6" w:rsidRDefault="009258F1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DC72EF" w:rsidRDefault="005B7CA7" w:rsidP="005B7CA7">
      <w:pPr>
        <w:rPr>
          <w:b/>
        </w:rPr>
      </w:pPr>
      <w:r>
        <w:rPr>
          <w:b/>
        </w:rPr>
        <w:t xml:space="preserve">   </w:t>
      </w:r>
    </w:p>
    <w:p w:rsidR="00DC72EF" w:rsidRDefault="00DC72EF">
      <w:pPr>
        <w:rPr>
          <w:b/>
        </w:rPr>
      </w:pPr>
      <w:r>
        <w:rPr>
          <w:b/>
        </w:rPr>
        <w:br w:type="page"/>
      </w:r>
    </w:p>
    <w:p w:rsidR="005B7C1D" w:rsidRPr="005B7CA7" w:rsidRDefault="00F41B9A" w:rsidP="005B7CA7">
      <w:pPr>
        <w:rPr>
          <w:b/>
        </w:rPr>
      </w:pPr>
      <w:r>
        <w:rPr>
          <w:b/>
        </w:rPr>
        <w:lastRenderedPageBreak/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>
        <w:rPr>
          <w:b/>
          <w:u w:val="single"/>
        </w:rPr>
        <w:t xml:space="preserve"> </w:t>
      </w:r>
      <w:r w:rsidR="008F34F6">
        <w:rPr>
          <w:b/>
          <w:u w:val="single"/>
        </w:rPr>
        <w:t>1</w:t>
      </w:r>
      <w:r w:rsidR="00DC72EF">
        <w:rPr>
          <w:b/>
          <w:u w:val="single"/>
        </w:rPr>
        <w:t>9</w:t>
      </w:r>
      <w:proofErr w:type="gramEnd"/>
      <w:r w:rsidR="00B2623F">
        <w:rPr>
          <w:b/>
          <w:u w:val="single"/>
        </w:rPr>
        <w:t xml:space="preserve"> </w:t>
      </w:r>
      <w:r w:rsidR="008F34F6">
        <w:rPr>
          <w:b/>
          <w:u w:val="single"/>
        </w:rPr>
        <w:t>abril</w:t>
      </w:r>
      <w:r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B2623F">
            <w:pPr>
              <w:pStyle w:val="NormalWeb"/>
              <w:jc w:val="both"/>
              <w:textAlignment w:val="top"/>
            </w:pPr>
          </w:p>
        </w:tc>
        <w:tc>
          <w:tcPr>
            <w:tcW w:w="992" w:type="dxa"/>
          </w:tcPr>
          <w:p w:rsidR="00B2623F" w:rsidRPr="0047077E" w:rsidRDefault="00B2623F" w:rsidP="00591CE9">
            <w:pPr>
              <w:pStyle w:val="NormalWeb"/>
              <w:jc w:val="center"/>
              <w:textAlignment w:val="top"/>
            </w:pPr>
          </w:p>
        </w:tc>
        <w:tc>
          <w:tcPr>
            <w:tcW w:w="1985" w:type="dxa"/>
            <w:gridSpan w:val="2"/>
          </w:tcPr>
          <w:p w:rsidR="00B2623F" w:rsidRPr="0047077E" w:rsidRDefault="00DC72EF" w:rsidP="00932DE6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126" w:type="dxa"/>
          </w:tcPr>
          <w:p w:rsidR="00B2623F" w:rsidRPr="0047077E" w:rsidRDefault="00DC72EF" w:rsidP="00A02B0A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C72EF" w:rsidP="004A37F7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126" w:type="dxa"/>
          </w:tcPr>
          <w:p w:rsidR="00B2623F" w:rsidRPr="0047077E" w:rsidRDefault="00DC72EF" w:rsidP="007C3AF1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C72EF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Honduras</w:t>
            </w:r>
          </w:p>
        </w:tc>
        <w:tc>
          <w:tcPr>
            <w:tcW w:w="2126" w:type="dxa"/>
          </w:tcPr>
          <w:p w:rsidR="00B2623F" w:rsidRPr="0047077E" w:rsidRDefault="00DC72EF" w:rsidP="00DB7B0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C72EF" w:rsidP="007C3AF1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126" w:type="dxa"/>
          </w:tcPr>
          <w:p w:rsidR="00B2623F" w:rsidRPr="0047077E" w:rsidRDefault="00DC72EF" w:rsidP="00D049CE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C72EF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2126" w:type="dxa"/>
          </w:tcPr>
          <w:p w:rsidR="00B2623F" w:rsidRDefault="00DC72EF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C72EF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126" w:type="dxa"/>
          </w:tcPr>
          <w:p w:rsidR="00B2623F" w:rsidRDefault="00DC72EF" w:rsidP="002634ED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C72EF" w:rsidP="002634E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2126" w:type="dxa"/>
          </w:tcPr>
          <w:p w:rsidR="00B2623F" w:rsidRDefault="00DC72EF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DC72EF" w:rsidP="00B2623F">
            <w:pPr>
              <w:pStyle w:val="NormalWeb"/>
              <w:jc w:val="center"/>
              <w:textAlignment w:val="top"/>
            </w:pPr>
            <w:r>
              <w:t>La Perla del Oeste</w:t>
            </w:r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81628">
        <w:t>2</w:t>
      </w:r>
      <w:r w:rsidR="00D52212">
        <w:t>4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52212">
        <w:t>20, 23, 28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52212">
        <w:t>8, 24, 25</w:t>
      </w:r>
      <w:r w:rsidR="00C81628">
        <w:t>.</w:t>
      </w:r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5D517F" w:rsidRDefault="00AA1AF2" w:rsidP="005D517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52212">
        <w:t>7, 8, 10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D5221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E3FAE">
        <w:t>.</w:t>
      </w:r>
      <w:proofErr w:type="gramEnd"/>
      <w:r w:rsidR="00AD76A8">
        <w:t xml:space="preserve"> 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8F49DA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D52212">
        <w:t>6, 8, 16.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917BEB" w:rsidRPr="00917BEB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D52212">
        <w:t>15</w:t>
      </w:r>
      <w:r w:rsidR="00AD76A8">
        <w:t>.</w:t>
      </w:r>
      <w:r>
        <w:t xml:space="preserve">    </w:t>
      </w:r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4E5407" w:rsidRPr="00D52212" w:rsidRDefault="0026205F" w:rsidP="004E540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52212">
        <w:t>16</w:t>
      </w:r>
      <w:r w:rsidR="006B7DBC">
        <w:t>.</w:t>
      </w:r>
      <w:r w:rsidR="004E5407" w:rsidRPr="004E5407">
        <w:t xml:space="preserve"> </w:t>
      </w:r>
    </w:p>
    <w:p w:rsidR="00D52212" w:rsidRPr="00D52212" w:rsidRDefault="00D52212" w:rsidP="004E5407">
      <w:pPr>
        <w:numPr>
          <w:ilvl w:val="3"/>
          <w:numId w:val="11"/>
        </w:numPr>
        <w:rPr>
          <w:u w:val="single"/>
        </w:rPr>
      </w:pPr>
      <w:r>
        <w:t xml:space="preserve">roja al </w:t>
      </w:r>
      <w:proofErr w:type="spellStart"/>
      <w:r>
        <w:t>num.</w:t>
      </w:r>
      <w:proofErr w:type="spellEnd"/>
      <w:r>
        <w:t xml:space="preserve"> 17 (Juan Pablo Salas por dar una bofetada a un contrario que había tenido una incidencia con un compañero de equipo.</w:t>
      </w:r>
    </w:p>
    <w:p w:rsidR="00D52212" w:rsidRPr="00D52212" w:rsidRDefault="00D52212" w:rsidP="00D52212">
      <w:pPr>
        <w:ind w:left="2880"/>
        <w:rPr>
          <w:u w:val="single"/>
        </w:rPr>
      </w:pPr>
      <w:r>
        <w:t>Se le sanciona con 24 partidos de suspensión y 48 euros de multa.</w:t>
      </w:r>
    </w:p>
    <w:p w:rsidR="00D52212" w:rsidRPr="00D52212" w:rsidRDefault="00D52212" w:rsidP="004E5407">
      <w:pPr>
        <w:numPr>
          <w:ilvl w:val="3"/>
          <w:numId w:val="11"/>
        </w:numPr>
        <w:rPr>
          <w:u w:val="single"/>
        </w:rPr>
      </w:pPr>
      <w:r>
        <w:lastRenderedPageBreak/>
        <w:t xml:space="preserve">roja al </w:t>
      </w:r>
      <w:proofErr w:type="spellStart"/>
      <w:r>
        <w:t>num.</w:t>
      </w:r>
      <w:proofErr w:type="spellEnd"/>
      <w:r>
        <w:t xml:space="preserve"> 21 (Borja García) por arrojar el balón a la cara de un contrario tras ser escupido por éste.</w:t>
      </w:r>
    </w:p>
    <w:p w:rsidR="00D52212" w:rsidRPr="00422412" w:rsidRDefault="00D52212" w:rsidP="00D52212">
      <w:pPr>
        <w:ind w:left="2880"/>
        <w:rPr>
          <w:u w:val="single"/>
        </w:rPr>
      </w:pPr>
      <w:r>
        <w:t xml:space="preserve">Se le sanciona con 12 partidos de suspensión y 24 euros de multa.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422412" w:rsidRPr="00E506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203E7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D52212">
        <w:t>2</w:t>
      </w:r>
      <w:r w:rsidR="00E50689">
        <w:t>1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D52212">
        <w:t>14</w:t>
      </w:r>
      <w:r w:rsidR="008859E4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167887" w:rsidRPr="00E50689" w:rsidRDefault="0026205F" w:rsidP="0016788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52212">
        <w:t>13</w:t>
      </w:r>
      <w:r w:rsidR="00E50689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52212">
        <w:t>4, 1</w:t>
      </w:r>
      <w:r w:rsidR="00E50689">
        <w:t>0</w:t>
      </w:r>
      <w:r w:rsidR="00E24323">
        <w:t>.</w:t>
      </w:r>
    </w:p>
    <w:p w:rsidR="004E5B60" w:rsidRDefault="004E5B60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52212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50689">
        <w:t>2</w:t>
      </w:r>
      <w:r w:rsidR="00D52212">
        <w:t>, 2, 11.</w:t>
      </w:r>
    </w:p>
    <w:p w:rsidR="00D52212" w:rsidRDefault="00D52212" w:rsidP="00917BEB">
      <w:pPr>
        <w:numPr>
          <w:ilvl w:val="3"/>
          <w:numId w:val="11"/>
        </w:numPr>
      </w:pPr>
      <w:r>
        <w:t xml:space="preserve">roja al </w:t>
      </w:r>
      <w:proofErr w:type="spellStart"/>
      <w:r>
        <w:t>num.</w:t>
      </w:r>
      <w:proofErr w:type="spellEnd"/>
      <w:r>
        <w:t xml:space="preserve"> 24 (Said </w:t>
      </w:r>
      <w:proofErr w:type="spellStart"/>
      <w:r>
        <w:t>Yender</w:t>
      </w:r>
      <w:proofErr w:type="spellEnd"/>
      <w:r>
        <w:t xml:space="preserve"> </w:t>
      </w:r>
      <w:proofErr w:type="spellStart"/>
      <w:r>
        <w:t>Elavit</w:t>
      </w:r>
      <w:proofErr w:type="spellEnd"/>
      <w:r>
        <w:t xml:space="preserve"> Parra Zapata) por escupir a un contrario y responder después con una bofetada tras recibir un balonazo arrojado por un contrario en su cara.</w:t>
      </w:r>
    </w:p>
    <w:p w:rsidR="00D52212" w:rsidRDefault="00D52212" w:rsidP="00D52212">
      <w:pPr>
        <w:ind w:left="2880"/>
      </w:pPr>
      <w:r>
        <w:t>Se le sanciona con 32 partidos de suspensión y 48 euros de multa.</w:t>
      </w:r>
    </w:p>
    <w:p w:rsidR="00D52212" w:rsidRDefault="00D52212" w:rsidP="00917BEB">
      <w:pPr>
        <w:numPr>
          <w:ilvl w:val="3"/>
          <w:numId w:val="11"/>
        </w:numPr>
      </w:pPr>
      <w:r>
        <w:t>roja al Delegado (Gorka Ezquerra) por protestar las decisiones del árbitro.</w:t>
      </w:r>
    </w:p>
    <w:p w:rsidR="00E50689" w:rsidRDefault="00D52212" w:rsidP="00BA06A9">
      <w:pPr>
        <w:ind w:left="2880"/>
      </w:pPr>
      <w:r>
        <w:t xml:space="preserve">Se le sanciona con 6 partidos de suspensión en su tarea como delegado y </w:t>
      </w:r>
      <w:r w:rsidR="00C75CB7">
        <w:t>24 euros de multa.</w:t>
      </w:r>
    </w:p>
    <w:p w:rsidR="00E50689" w:rsidRPr="00BA06A9" w:rsidRDefault="00E50689" w:rsidP="00E50689"/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75CB7">
        <w:t>14</w:t>
      </w:r>
      <w:r w:rsidR="00013981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Johan Abelardo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Varel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9)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422412" w:rsidRDefault="00422412" w:rsidP="00330C94">
            <w:pPr>
              <w:rPr>
                <w:iCs/>
                <w:color w:val="000000"/>
                <w:shd w:val="clear" w:color="auto" w:fill="FFFFFF"/>
              </w:rPr>
            </w:pPr>
            <w:r w:rsidRPr="00422412">
              <w:rPr>
                <w:iCs/>
                <w:color w:val="000000"/>
                <w:shd w:val="clear" w:color="auto" w:fill="FFFFFF"/>
              </w:rPr>
              <w:t xml:space="preserve">Se le sanciona con 18 partidos de suspensión (6+12) y 72 euros de multa (24+48) por falta a un contrario con fuerza desmedida y mala intención. </w:t>
            </w:r>
          </w:p>
          <w:p w:rsidR="00B74148" w:rsidRDefault="00422412" w:rsidP="00330C94">
            <w:pPr>
              <w:rPr>
                <w:iCs/>
                <w:color w:val="000000"/>
                <w:shd w:val="clear" w:color="auto" w:fill="FFFFFF"/>
              </w:rPr>
            </w:pPr>
            <w:r w:rsidRPr="00422412">
              <w:rPr>
                <w:iCs/>
                <w:color w:val="000000"/>
                <w:shd w:val="clear" w:color="auto" w:fill="FFFFFF"/>
              </w:rPr>
              <w:t xml:space="preserve">Una vez expulsado insulta gravemente al </w:t>
            </w:r>
            <w:r w:rsidRPr="00422412">
              <w:rPr>
                <w:iCs/>
                <w:color w:val="000000"/>
                <w:shd w:val="clear" w:color="auto" w:fill="FFFFFF"/>
              </w:rPr>
              <w:lastRenderedPageBreak/>
              <w:t xml:space="preserve">árbitro y le da un pisotón de manera intencionada. </w:t>
            </w:r>
          </w:p>
          <w:p w:rsidR="00B74148" w:rsidRPr="00422412" w:rsidRDefault="00422412" w:rsidP="00097140">
            <w:r w:rsidRPr="00422412">
              <w:rPr>
                <w:iCs/>
                <w:color w:val="000000"/>
                <w:shd w:val="clear" w:color="auto" w:fill="FFFFFF"/>
              </w:rPr>
              <w:t>Acta del 22-3-2026</w:t>
            </w:r>
          </w:p>
        </w:tc>
      </w:tr>
      <w:tr w:rsidR="00422412" w:rsidRPr="003500F1" w:rsidTr="0075038C">
        <w:tc>
          <w:tcPr>
            <w:tcW w:w="1531" w:type="dxa"/>
          </w:tcPr>
          <w:p w:rsidR="00167887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Jose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Andrés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Fernandez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Mayor </w:t>
            </w:r>
          </w:p>
          <w:p w:rsidR="00422412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10)</w:t>
            </w:r>
          </w:p>
        </w:tc>
        <w:tc>
          <w:tcPr>
            <w:tcW w:w="1134" w:type="dxa"/>
          </w:tcPr>
          <w:p w:rsidR="00422412" w:rsidRDefault="00167887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10-05-2026</w:t>
            </w:r>
          </w:p>
        </w:tc>
        <w:tc>
          <w:tcPr>
            <w:tcW w:w="4253" w:type="dxa"/>
          </w:tcPr>
          <w:p w:rsidR="00167887" w:rsidRDefault="00167887" w:rsidP="00167887">
            <w:r>
              <w:t>Se le sanciona con 6 partidos de suspensión y 24 euros de multa por insultos graves al árbitro.</w:t>
            </w:r>
          </w:p>
          <w:p w:rsidR="00422412" w:rsidRPr="00A31336" w:rsidRDefault="00167887" w:rsidP="00167887">
            <w:r>
              <w:t>Acta del 22-3-2026</w:t>
            </w:r>
          </w:p>
        </w:tc>
      </w:tr>
      <w:tr w:rsidR="001D3796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Damian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D3796" w:rsidRDefault="001D3796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31-10-2026</w:t>
            </w:r>
          </w:p>
        </w:tc>
        <w:tc>
          <w:tcPr>
            <w:tcW w:w="4253" w:type="dxa"/>
          </w:tcPr>
          <w:p w:rsidR="001D3796" w:rsidRDefault="001D3796" w:rsidP="00480F58">
            <w:r>
              <w:t>Se le sanciona con la suspensión hasta el 31-10-2026 en su tarea como delegado debido a que el Acta presenta errores, no avisar al árbitro de la coincidencia de dos jugadores con el mismo dorsal y dirigirse al árbitro al día siguiente imputándole el error de aplicación de una tarjeta a otro jugador con dorsal duplicado,  exigiéndole que lo asumiese como propio y gestionase ante el Comité el cambio del jugador sancionado</w:t>
            </w:r>
          </w:p>
        </w:tc>
      </w:tr>
      <w:tr w:rsidR="00494AB9" w:rsidRPr="003500F1" w:rsidTr="0075038C">
        <w:tc>
          <w:tcPr>
            <w:tcW w:w="1531" w:type="dxa"/>
          </w:tcPr>
          <w:p w:rsidR="00494AB9" w:rsidRDefault="00494AB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Juan Carlos Gómez (num.15)</w:t>
            </w:r>
          </w:p>
        </w:tc>
        <w:tc>
          <w:tcPr>
            <w:tcW w:w="1134" w:type="dxa"/>
          </w:tcPr>
          <w:p w:rsidR="00494AB9" w:rsidRDefault="00494AB9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494AB9" w:rsidRDefault="00E50689" w:rsidP="00E5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4AB9">
              <w:rPr>
                <w:sz w:val="20"/>
                <w:szCs w:val="20"/>
              </w:rPr>
              <w:t>9-</w:t>
            </w:r>
            <w:r>
              <w:rPr>
                <w:sz w:val="20"/>
                <w:szCs w:val="20"/>
              </w:rPr>
              <w:t>4</w:t>
            </w:r>
            <w:r w:rsidR="00494AB9">
              <w:rPr>
                <w:sz w:val="20"/>
                <w:szCs w:val="20"/>
              </w:rPr>
              <w:t>-2026</w:t>
            </w:r>
          </w:p>
        </w:tc>
        <w:tc>
          <w:tcPr>
            <w:tcW w:w="1276" w:type="dxa"/>
          </w:tcPr>
          <w:p w:rsidR="00494AB9" w:rsidRDefault="00E50689" w:rsidP="00E5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4AB9">
              <w:rPr>
                <w:sz w:val="20"/>
                <w:szCs w:val="20"/>
              </w:rPr>
              <w:t>9-</w:t>
            </w:r>
            <w:r>
              <w:rPr>
                <w:sz w:val="20"/>
                <w:szCs w:val="20"/>
              </w:rPr>
              <w:t>4</w:t>
            </w:r>
            <w:r w:rsidR="00494AB9">
              <w:rPr>
                <w:sz w:val="20"/>
                <w:szCs w:val="20"/>
              </w:rPr>
              <w:t>-2026</w:t>
            </w:r>
          </w:p>
        </w:tc>
        <w:tc>
          <w:tcPr>
            <w:tcW w:w="4253" w:type="dxa"/>
          </w:tcPr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E50689" w:rsidRDefault="00E5068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Dado que jugó el 29-3-2026 estando sancionado, se le aplica la suspensión el 19-4-2026.</w:t>
            </w:r>
          </w:p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</w:t>
            </w:r>
            <w:r w:rsidR="008469D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del 22-3-2026</w:t>
            </w:r>
            <w:r w:rsidR="00E50689">
              <w:rPr>
                <w:sz w:val="20"/>
                <w:szCs w:val="20"/>
              </w:rPr>
              <w:t xml:space="preserve"> y 29-3-2026</w:t>
            </w:r>
          </w:p>
        </w:tc>
      </w:tr>
      <w:tr w:rsidR="00494AB9" w:rsidRPr="003500F1" w:rsidTr="0075038C">
        <w:tc>
          <w:tcPr>
            <w:tcW w:w="1531" w:type="dxa"/>
          </w:tcPr>
          <w:p w:rsidR="00494AB9" w:rsidRDefault="00494AB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Llusco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Castillo</w:t>
            </w:r>
          </w:p>
          <w:p w:rsidR="00494AB9" w:rsidRDefault="00494AB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(num.7)</w:t>
            </w:r>
          </w:p>
        </w:tc>
        <w:tc>
          <w:tcPr>
            <w:tcW w:w="1134" w:type="dxa"/>
          </w:tcPr>
          <w:p w:rsidR="00494AB9" w:rsidRDefault="00494AB9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Zabala</w:t>
            </w:r>
          </w:p>
        </w:tc>
        <w:tc>
          <w:tcPr>
            <w:tcW w:w="1275" w:type="dxa"/>
          </w:tcPr>
          <w:p w:rsidR="00494AB9" w:rsidRDefault="00494AB9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12-4-2026</w:t>
            </w:r>
          </w:p>
        </w:tc>
        <w:tc>
          <w:tcPr>
            <w:tcW w:w="1276" w:type="dxa"/>
          </w:tcPr>
          <w:p w:rsidR="00494AB9" w:rsidRDefault="00494AB9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4253" w:type="dxa"/>
          </w:tcPr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y 12 euros de multa por dirigirse al árbitro de manera inapropiada.</w:t>
            </w:r>
          </w:p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22-3-2026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C75CB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Jeison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42E3D">
              <w:rPr>
                <w:bCs/>
                <w:color w:val="000000"/>
                <w:sz w:val="20"/>
                <w:szCs w:val="20"/>
                <w:shd w:val="clear" w:color="auto" w:fill="FFFFFF"/>
              </w:rPr>
              <w:t>Alejandro Ospina Castañeda (num.7)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4253" w:type="dxa"/>
          </w:tcPr>
          <w:p w:rsidR="00242E3D" w:rsidRDefault="00242E3D" w:rsidP="00242E3D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242E3D" w:rsidRDefault="00242E3D" w:rsidP="00242E3D">
            <w:pPr>
              <w:ind w:left="34"/>
              <w:rPr>
                <w:sz w:val="20"/>
                <w:szCs w:val="20"/>
              </w:rPr>
            </w:pPr>
          </w:p>
          <w:p w:rsidR="00C75CB7" w:rsidRDefault="00242E3D" w:rsidP="00242E3D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242E3D" w:rsidRPr="003500F1" w:rsidTr="0075038C">
        <w:tc>
          <w:tcPr>
            <w:tcW w:w="1531" w:type="dxa"/>
          </w:tcPr>
          <w:p w:rsidR="00242E3D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Sergio Saavedra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242E3D" w:rsidRDefault="00242E3D" w:rsidP="006C2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242E3D" w:rsidRDefault="00242E3D" w:rsidP="006C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242E3D" w:rsidRDefault="00242E3D" w:rsidP="006C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4253" w:type="dxa"/>
          </w:tcPr>
          <w:p w:rsidR="00242E3D" w:rsidRDefault="00242E3D" w:rsidP="006C293D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242E3D" w:rsidRDefault="00242E3D" w:rsidP="006C293D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242E3D" w:rsidRPr="003500F1" w:rsidTr="0075038C">
        <w:tc>
          <w:tcPr>
            <w:tcW w:w="1531" w:type="dxa"/>
          </w:tcPr>
          <w:p w:rsidR="00242E3D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Leonardo Aparicio (num.16)</w:t>
            </w:r>
          </w:p>
        </w:tc>
        <w:tc>
          <w:tcPr>
            <w:tcW w:w="1134" w:type="dxa"/>
          </w:tcPr>
          <w:p w:rsidR="00242E3D" w:rsidRDefault="00242E3D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242E3D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242E3D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4253" w:type="dxa"/>
          </w:tcPr>
          <w:p w:rsidR="00242E3D" w:rsidRDefault="00242E3D" w:rsidP="006C293D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242E3D" w:rsidRDefault="00242E3D" w:rsidP="006C293D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242E3D" w:rsidRPr="003500F1" w:rsidTr="0075038C">
        <w:tc>
          <w:tcPr>
            <w:tcW w:w="1531" w:type="dxa"/>
          </w:tcPr>
          <w:p w:rsidR="00242E3D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Luis Corral (num.11)</w:t>
            </w:r>
          </w:p>
        </w:tc>
        <w:tc>
          <w:tcPr>
            <w:tcW w:w="1134" w:type="dxa"/>
          </w:tcPr>
          <w:p w:rsidR="00242E3D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242E3D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242E3D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4253" w:type="dxa"/>
          </w:tcPr>
          <w:p w:rsidR="00242E3D" w:rsidRDefault="00242E3D" w:rsidP="006C293D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242E3D" w:rsidRDefault="00242E3D" w:rsidP="006C293D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242E3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Gorka Ezquerra (Delegado)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24-5-2026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6 partidos de suspensión como Delegado y 24 euros de multa por protestar las decisiones del árbitro´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Said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Yendar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Elavit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Parra Zapata (num.24)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31-3-2027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escupir a un contrario y responder después con una bofetada tras recibir un balonazo arrojado por el contrario en su cara.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Juan Pablo Salas (num.17)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20-2-2027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24 partidos de suspensión y 48 euros de multa por dar una bofetada a un contrario que había tenido una incidencia con un compañero de equipo.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Borja García (num.21)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12 partidos de suspensión y 24 euros de multa por arrojar el balón en la cara de un contrario tras ser escupido por éste.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</w:tbl>
    <w:p w:rsidR="00AA1AF2" w:rsidRDefault="00AA1AF2" w:rsidP="00AA1AF2">
      <w:pPr>
        <w:rPr>
          <w:b/>
        </w:rPr>
      </w:pPr>
    </w:p>
    <w:p w:rsidR="004C159E" w:rsidRDefault="004C159E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lastRenderedPageBreak/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B74148" w:rsidRDefault="00B74148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E96556" w:rsidRDefault="00866429" w:rsidP="004E5B60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proofErr w:type="spellStart"/>
            <w:r>
              <w:t>Yepronor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6516D1" w:rsidP="00662A63">
            <w:pPr>
              <w:spacing w:before="100" w:after="100"/>
              <w:jc w:val="center"/>
            </w:pPr>
            <w:r>
              <w:t>1,</w:t>
            </w:r>
            <w:r w:rsidR="00662A63">
              <w:t>62</w:t>
            </w:r>
            <w:r w:rsidR="00112510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Chapines 8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932DE6" w:rsidP="00275479">
            <w:pPr>
              <w:spacing w:before="100" w:after="100"/>
              <w:jc w:val="center"/>
            </w:pPr>
            <w:r>
              <w:t>3</w:t>
            </w:r>
            <w:r w:rsidR="00BF62C8">
              <w:t>,</w:t>
            </w:r>
            <w:r w:rsidR="00275479">
              <w:t>8</w:t>
            </w:r>
            <w:r w:rsidR="00292ACD">
              <w:t>6</w:t>
            </w:r>
            <w:r w:rsidR="004D6FBB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E029D6" w:rsidP="00275479">
            <w:pPr>
              <w:spacing w:before="100" w:after="100"/>
              <w:jc w:val="center"/>
            </w:pPr>
            <w:r>
              <w:t>1</w:t>
            </w:r>
            <w:r w:rsidR="00275479">
              <w:t>7</w:t>
            </w:r>
            <w:r>
              <w:t>,</w:t>
            </w:r>
            <w:r w:rsidR="00275479">
              <w:t>08</w:t>
            </w:r>
            <w:r w:rsidR="008E5644">
              <w:t xml:space="preserve"> </w:t>
            </w:r>
            <w:r w:rsidR="00112510">
              <w:t>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4E5B60" w:rsidRDefault="004E5B60" w:rsidP="004E5B60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9</w:t>
      </w:r>
      <w:r w:rsidRPr="00E27DEA">
        <w:rPr>
          <w:b/>
        </w:rPr>
        <w:t>.-</w:t>
      </w:r>
      <w:r>
        <w:rPr>
          <w:b/>
        </w:rPr>
        <w:t xml:space="preserve"> </w:t>
      </w:r>
      <w:r>
        <w:rPr>
          <w:b/>
          <w:u w:val="single"/>
        </w:rPr>
        <w:t>Solicitud de reunión extraordinaria</w:t>
      </w:r>
      <w:r w:rsidRPr="002160C9">
        <w:rPr>
          <w:b/>
          <w:u w:val="single"/>
        </w:rPr>
        <w:t>.</w:t>
      </w:r>
      <w:r>
        <w:rPr>
          <w:b/>
          <w:u w:val="single"/>
        </w:rPr>
        <w:t xml:space="preserve"> </w:t>
      </w:r>
    </w:p>
    <w:p w:rsidR="009B6B0B" w:rsidRDefault="004E5B60" w:rsidP="00292ACD">
      <w:pPr>
        <w:shd w:val="clear" w:color="auto" w:fill="FFFFFF"/>
        <w:spacing w:before="100" w:after="100"/>
        <w:ind w:left="348"/>
        <w:jc w:val="both"/>
        <w:textAlignment w:val="top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El Delegado del equipo Chapines 8 40 (Leonel Cruz) ha solicitado la celebración de una reunión general para valorar la posibilidad de grabar los partidos</w:t>
      </w:r>
      <w:r w:rsidR="009B6B0B">
        <w:rPr>
          <w:color w:val="000000"/>
          <w:shd w:val="clear" w:color="auto" w:fill="FFFFFF"/>
        </w:rPr>
        <w:t xml:space="preserve"> del Torneo. </w:t>
      </w:r>
    </w:p>
    <w:p w:rsidR="00A57DEC" w:rsidRDefault="009B6B0B" w:rsidP="00292ACD">
      <w:pPr>
        <w:shd w:val="clear" w:color="auto" w:fill="FFFFFF"/>
        <w:spacing w:before="100" w:after="100"/>
        <w:ind w:left="348"/>
        <w:jc w:val="both"/>
        <w:textAlignment w:val="top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Esa petición señala que viene avalada por los equipos </w:t>
      </w:r>
      <w:proofErr w:type="spellStart"/>
      <w:r>
        <w:rPr>
          <w:color w:val="000000"/>
          <w:shd w:val="clear" w:color="auto" w:fill="FFFFFF"/>
        </w:rPr>
        <w:t>Yepronor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Unirea</w:t>
      </w:r>
      <w:proofErr w:type="spellEnd"/>
      <w:r>
        <w:rPr>
          <w:color w:val="000000"/>
          <w:shd w:val="clear" w:color="auto" w:fill="FFFFFF"/>
        </w:rPr>
        <w:t xml:space="preserve">, La Perla del Oeste, Honduras y </w:t>
      </w:r>
      <w:proofErr w:type="spellStart"/>
      <w:r>
        <w:rPr>
          <w:color w:val="000000"/>
          <w:shd w:val="clear" w:color="auto" w:fill="FFFFFF"/>
        </w:rPr>
        <w:t>Bilboven</w:t>
      </w:r>
      <w:proofErr w:type="spellEnd"/>
      <w:r w:rsidR="00DC72EF">
        <w:rPr>
          <w:color w:val="000000"/>
          <w:shd w:val="clear" w:color="auto" w:fill="FFFFFF"/>
        </w:rPr>
        <w:t xml:space="preserve">. </w:t>
      </w:r>
    </w:p>
    <w:p w:rsidR="004E5B60" w:rsidRDefault="00DC72EF" w:rsidP="00292ACD">
      <w:pPr>
        <w:shd w:val="clear" w:color="auto" w:fill="FFFFFF"/>
        <w:spacing w:before="100" w:after="100"/>
        <w:ind w:left="348"/>
        <w:jc w:val="both"/>
        <w:textAlignment w:val="top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Se celebrará el lunes 13 de abril de 2026 a las 20 horas en el lugar de costumbre.</w:t>
      </w:r>
    </w:p>
    <w:p w:rsidR="00292ACD" w:rsidRDefault="00292ACD" w:rsidP="00DC72EF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>10</w:t>
      </w:r>
      <w:r w:rsidRPr="00E27DEA">
        <w:rPr>
          <w:b/>
        </w:rPr>
        <w:t>.-</w:t>
      </w:r>
      <w:r>
        <w:rPr>
          <w:b/>
        </w:rPr>
        <w:t xml:space="preserve"> </w:t>
      </w:r>
      <w:r>
        <w:rPr>
          <w:b/>
          <w:u w:val="single"/>
        </w:rPr>
        <w:t xml:space="preserve">Multas primer trimestre 2026 </w:t>
      </w:r>
      <w:r w:rsidR="00DC72EF">
        <w:rPr>
          <w:b/>
          <w:u w:val="single"/>
        </w:rPr>
        <w:t xml:space="preserve">pendientes de pago </w:t>
      </w:r>
      <w:r>
        <w:rPr>
          <w:b/>
          <w:u w:val="single"/>
        </w:rPr>
        <w:t>(a pagar antes del 21 de abril 2026)</w:t>
      </w:r>
      <w:r w:rsidRPr="002160C9">
        <w:rPr>
          <w:b/>
          <w:u w:val="single"/>
        </w:rPr>
        <w:t>.</w:t>
      </w:r>
      <w:r>
        <w:rPr>
          <w:b/>
          <w:u w:val="single"/>
        </w:rPr>
        <w:t xml:space="preserve"> </w:t>
      </w:r>
    </w:p>
    <w:tbl>
      <w:tblPr>
        <w:tblStyle w:val="Tablaconcuadrcula"/>
        <w:tblW w:w="0" w:type="auto"/>
        <w:tblInd w:w="348" w:type="dxa"/>
        <w:tblLayout w:type="fixed"/>
        <w:tblLook w:val="04A0"/>
      </w:tblPr>
      <w:tblGrid>
        <w:gridCol w:w="4155"/>
        <w:gridCol w:w="850"/>
        <w:gridCol w:w="1134"/>
        <w:gridCol w:w="1276"/>
        <w:gridCol w:w="1240"/>
      </w:tblGrid>
      <w:tr w:rsidR="0093417C" w:rsidTr="0093417C">
        <w:tc>
          <w:tcPr>
            <w:tcW w:w="4155" w:type="dxa"/>
            <w:shd w:val="clear" w:color="auto" w:fill="BFBFBF" w:themeFill="background1" w:themeFillShade="BF"/>
          </w:tcPr>
          <w:p w:rsidR="0093417C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Equipo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93417C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Amarillas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3417C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Rojas y multas</w:t>
            </w:r>
          </w:p>
        </w:tc>
        <w:tc>
          <w:tcPr>
            <w:tcW w:w="1240" w:type="dxa"/>
            <w:shd w:val="clear" w:color="auto" w:fill="BFBFBF" w:themeFill="background1" w:themeFillShade="BF"/>
          </w:tcPr>
          <w:p w:rsidR="0093417C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Total a pagar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 w:rsidRPr="0093417C">
              <w:rPr>
                <w:b/>
              </w:rPr>
              <w:t>Atlantic</w:t>
            </w:r>
            <w:proofErr w:type="spellEnd"/>
            <w:r w:rsidRPr="0093417C">
              <w:rPr>
                <w:b/>
              </w:rPr>
              <w:t xml:space="preserve"> Isles</w:t>
            </w:r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15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22,50 €</w:t>
            </w:r>
          </w:p>
        </w:tc>
        <w:tc>
          <w:tcPr>
            <w:tcW w:w="1276" w:type="dxa"/>
          </w:tcPr>
          <w:p w:rsidR="00B74148" w:rsidRDefault="00B74148" w:rsidP="0093417C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 w:rsidRPr="0093417C">
              <w:rPr>
                <w:b/>
              </w:rPr>
              <w:t>22,50 €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Bilboven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27,00 €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39,00 €</w:t>
            </w:r>
          </w:p>
        </w:tc>
      </w:tr>
      <w:tr w:rsidR="00275479" w:rsidTr="0093417C">
        <w:tc>
          <w:tcPr>
            <w:tcW w:w="4155" w:type="dxa"/>
          </w:tcPr>
          <w:p w:rsidR="00275479" w:rsidRDefault="00275479" w:rsidP="009258F1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Zabala</w:t>
            </w:r>
          </w:p>
        </w:tc>
        <w:tc>
          <w:tcPr>
            <w:tcW w:w="850" w:type="dxa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26</w:t>
            </w:r>
          </w:p>
        </w:tc>
        <w:tc>
          <w:tcPr>
            <w:tcW w:w="1134" w:type="dxa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39,00 €</w:t>
            </w:r>
          </w:p>
        </w:tc>
        <w:tc>
          <w:tcPr>
            <w:tcW w:w="1276" w:type="dxa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</w:tcPr>
          <w:p w:rsidR="00275479" w:rsidRDefault="00275479" w:rsidP="009258F1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51,00 €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lastRenderedPageBreak/>
              <w:t>CD Élite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Pr="00A57DEC" w:rsidRDefault="0093417C" w:rsidP="0093417C">
            <w:pPr>
              <w:spacing w:before="100" w:after="100"/>
              <w:jc w:val="center"/>
              <w:textAlignment w:val="top"/>
            </w:pPr>
            <w:r w:rsidRPr="00A57DEC"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Pr="00A57DEC" w:rsidRDefault="0093417C" w:rsidP="0093417C">
            <w:pPr>
              <w:spacing w:before="100" w:after="100"/>
              <w:jc w:val="center"/>
              <w:textAlignment w:val="top"/>
            </w:pPr>
            <w:r w:rsidRPr="00A57DEC">
              <w:t>30,00 €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Pr="00A57DEC" w:rsidRDefault="0093417C" w:rsidP="0093417C">
            <w:pPr>
              <w:spacing w:before="100" w:after="100"/>
              <w:jc w:val="center"/>
              <w:textAlignment w:val="top"/>
            </w:pPr>
            <w:r w:rsidRPr="00A57DEC">
              <w:t>72,00 €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102,00 €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Chapines 8 40</w:t>
            </w:r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 xml:space="preserve">37 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55,50 €</w:t>
            </w:r>
          </w:p>
        </w:tc>
        <w:tc>
          <w:tcPr>
            <w:tcW w:w="1276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36,00 €</w:t>
            </w: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91,50 €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Honduras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36,00 €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60,00 €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Koky</w:t>
            </w:r>
            <w:proofErr w:type="spellEnd"/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13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19,50 €</w:t>
            </w:r>
          </w:p>
        </w:tc>
        <w:tc>
          <w:tcPr>
            <w:tcW w:w="1276" w:type="dxa"/>
          </w:tcPr>
          <w:p w:rsidR="00B74148" w:rsidRDefault="00B74148" w:rsidP="0093417C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19,50 €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La Perla del Oeste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28,50 €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52,50 €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La Sede</w:t>
            </w:r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15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22,50 €</w:t>
            </w:r>
          </w:p>
        </w:tc>
        <w:tc>
          <w:tcPr>
            <w:tcW w:w="1276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34,50 €</w:t>
            </w:r>
          </w:p>
        </w:tc>
      </w:tr>
      <w:tr w:rsidR="00275479" w:rsidTr="00357A2E">
        <w:tc>
          <w:tcPr>
            <w:tcW w:w="4155" w:type="dxa"/>
            <w:shd w:val="clear" w:color="auto" w:fill="D9D9D9" w:themeFill="background1" w:themeFillShade="D9"/>
          </w:tcPr>
          <w:p w:rsidR="00275479" w:rsidRPr="0093417C" w:rsidRDefault="00275479" w:rsidP="009258F1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Yepronor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30,00 €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48,00 €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275479" w:rsidRPr="0093417C" w:rsidRDefault="00275479" w:rsidP="009258F1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78,00 €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San Agustín</w:t>
            </w:r>
          </w:p>
        </w:tc>
        <w:tc>
          <w:tcPr>
            <w:tcW w:w="850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10</w:t>
            </w:r>
          </w:p>
        </w:tc>
        <w:tc>
          <w:tcPr>
            <w:tcW w:w="1134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15,00 €</w:t>
            </w:r>
          </w:p>
        </w:tc>
        <w:tc>
          <w:tcPr>
            <w:tcW w:w="1276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40" w:type="dxa"/>
          </w:tcPr>
          <w:p w:rsidR="00B74148" w:rsidRPr="0093417C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39,00 €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Tartanga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18,00 €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42,00 €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Unirea</w:t>
            </w:r>
            <w:proofErr w:type="spellEnd"/>
          </w:p>
        </w:tc>
        <w:tc>
          <w:tcPr>
            <w:tcW w:w="850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26</w:t>
            </w:r>
          </w:p>
        </w:tc>
        <w:tc>
          <w:tcPr>
            <w:tcW w:w="1134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39,00 €</w:t>
            </w:r>
          </w:p>
        </w:tc>
        <w:tc>
          <w:tcPr>
            <w:tcW w:w="1276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60,00 €</w:t>
            </w:r>
          </w:p>
        </w:tc>
        <w:tc>
          <w:tcPr>
            <w:tcW w:w="1240" w:type="dxa"/>
          </w:tcPr>
          <w:p w:rsidR="00B74148" w:rsidRPr="0093417C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99,00 €</w:t>
            </w:r>
          </w:p>
        </w:tc>
      </w:tr>
    </w:tbl>
    <w:p w:rsidR="00292ACD" w:rsidRDefault="00292ACD" w:rsidP="00292ACD">
      <w:pPr>
        <w:shd w:val="clear" w:color="auto" w:fill="FFFFFF"/>
        <w:spacing w:before="100" w:after="100"/>
        <w:ind w:left="348"/>
        <w:jc w:val="both"/>
        <w:textAlignment w:val="top"/>
      </w:pPr>
    </w:p>
    <w:p w:rsidR="00097140" w:rsidRDefault="00097140" w:rsidP="00097140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>11</w:t>
      </w:r>
      <w:r w:rsidRPr="00E27DEA">
        <w:rPr>
          <w:b/>
        </w:rPr>
        <w:t>.-</w:t>
      </w:r>
      <w:r>
        <w:rPr>
          <w:b/>
        </w:rPr>
        <w:t xml:space="preserve"> </w:t>
      </w:r>
      <w:r>
        <w:rPr>
          <w:b/>
          <w:u w:val="single"/>
        </w:rPr>
        <w:t xml:space="preserve">Cambios calendario jornada 31-mayo-2026 en campo </w:t>
      </w:r>
      <w:proofErr w:type="spellStart"/>
      <w:r>
        <w:rPr>
          <w:b/>
          <w:u w:val="single"/>
        </w:rPr>
        <w:t>Montefuerte</w:t>
      </w:r>
      <w:proofErr w:type="spellEnd"/>
      <w:r w:rsidRPr="002160C9">
        <w:rPr>
          <w:b/>
          <w:u w:val="single"/>
        </w:rPr>
        <w:t>.</w:t>
      </w:r>
      <w:r>
        <w:rPr>
          <w:b/>
          <w:u w:val="single"/>
        </w:rPr>
        <w:t xml:space="preserve"> </w:t>
      </w:r>
    </w:p>
    <w:p w:rsidR="00097140" w:rsidRDefault="00097140" w:rsidP="00097140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Como consecuencia de que el campo no estará disponible el domingo 31 de mayo, se adelantan al sábado 30 mayo los encuentros:</w:t>
      </w:r>
    </w:p>
    <w:p w:rsidR="00097140" w:rsidRPr="00097140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17:00 horas: </w:t>
      </w:r>
      <w:proofErr w:type="spellStart"/>
      <w:r>
        <w:t>Yepronor</w:t>
      </w:r>
      <w:proofErr w:type="spellEnd"/>
      <w:r>
        <w:t xml:space="preserve"> – CD Élite</w:t>
      </w:r>
    </w:p>
    <w:p w:rsidR="00097140" w:rsidRPr="00097140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19:00 horas: </w:t>
      </w:r>
      <w:proofErr w:type="spellStart"/>
      <w:r>
        <w:t>Unirea</w:t>
      </w:r>
      <w:proofErr w:type="spellEnd"/>
      <w:r>
        <w:t xml:space="preserve"> - Zabala</w:t>
      </w:r>
    </w:p>
    <w:p w:rsidR="00097140" w:rsidRDefault="00097140" w:rsidP="00292ACD">
      <w:pPr>
        <w:shd w:val="clear" w:color="auto" w:fill="FFFFFF"/>
        <w:spacing w:before="100" w:after="100"/>
        <w:ind w:left="348"/>
        <w:jc w:val="both"/>
        <w:textAlignment w:val="top"/>
      </w:pPr>
    </w:p>
    <w:p w:rsidR="00B626AC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. 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4E5B60">
      <w:footerReference w:type="default" r:id="rId9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33" w:rsidRDefault="00B94233">
      <w:r>
        <w:separator/>
      </w:r>
    </w:p>
  </w:endnote>
  <w:endnote w:type="continuationSeparator" w:id="0">
    <w:p w:rsidR="00B94233" w:rsidRDefault="00B94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8F1" w:rsidRDefault="009258F1">
    <w:pPr>
      <w:pStyle w:val="Piedepgina"/>
      <w:pBdr>
        <w:bottom w:val="single" w:sz="12" w:space="1" w:color="auto"/>
      </w:pBdr>
    </w:pPr>
  </w:p>
  <w:p w:rsidR="009258F1" w:rsidRPr="00B62BB2" w:rsidRDefault="009258F1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25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12</w:t>
    </w:r>
    <w:r w:rsidRPr="00B62BB2">
      <w:rPr>
        <w:sz w:val="18"/>
        <w:szCs w:val="18"/>
      </w:rPr>
      <w:t>-</w:t>
    </w:r>
    <w:r>
      <w:rPr>
        <w:sz w:val="18"/>
        <w:szCs w:val="18"/>
      </w:rPr>
      <w:t>4-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351A08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351A08">
      <w:rPr>
        <w:rStyle w:val="Nmerodepgina"/>
        <w:noProof/>
        <w:sz w:val="18"/>
        <w:szCs w:val="18"/>
      </w:rPr>
      <w:t>8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33" w:rsidRDefault="00B94233">
      <w:r>
        <w:separator/>
      </w:r>
    </w:p>
  </w:footnote>
  <w:footnote w:type="continuationSeparator" w:id="0">
    <w:p w:rsidR="00B94233" w:rsidRDefault="00B94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03C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2982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140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887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5A7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87BC7"/>
    <w:rsid w:val="00190550"/>
    <w:rsid w:val="001912FC"/>
    <w:rsid w:val="00191EB8"/>
    <w:rsid w:val="0019259A"/>
    <w:rsid w:val="001925BB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B85"/>
    <w:rsid w:val="001A7DAD"/>
    <w:rsid w:val="001B0154"/>
    <w:rsid w:val="001B0635"/>
    <w:rsid w:val="001B21BC"/>
    <w:rsid w:val="001B4019"/>
    <w:rsid w:val="001B5CD9"/>
    <w:rsid w:val="001B69E1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796"/>
    <w:rsid w:val="001D3AEA"/>
    <w:rsid w:val="001D450A"/>
    <w:rsid w:val="001D56D0"/>
    <w:rsid w:val="001D5DF2"/>
    <w:rsid w:val="001D7EE7"/>
    <w:rsid w:val="001E30B6"/>
    <w:rsid w:val="001E41AB"/>
    <w:rsid w:val="001E6257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2E3D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34"/>
    <w:rsid w:val="002666E3"/>
    <w:rsid w:val="002702D4"/>
    <w:rsid w:val="0027195D"/>
    <w:rsid w:val="00274634"/>
    <w:rsid w:val="00275479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2ACD"/>
    <w:rsid w:val="00293887"/>
    <w:rsid w:val="00293C9F"/>
    <w:rsid w:val="002956ED"/>
    <w:rsid w:val="00296F2B"/>
    <w:rsid w:val="0029743A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24FE"/>
    <w:rsid w:val="002B3FAD"/>
    <w:rsid w:val="002B428A"/>
    <w:rsid w:val="002B4923"/>
    <w:rsid w:val="002B5035"/>
    <w:rsid w:val="002B5686"/>
    <w:rsid w:val="002B72DF"/>
    <w:rsid w:val="002B7413"/>
    <w:rsid w:val="002B7A0F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3F4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2BF7"/>
    <w:rsid w:val="002F6B55"/>
    <w:rsid w:val="002F7211"/>
    <w:rsid w:val="003005FF"/>
    <w:rsid w:val="00302B86"/>
    <w:rsid w:val="00303A4B"/>
    <w:rsid w:val="00310744"/>
    <w:rsid w:val="00310C38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1838"/>
    <w:rsid w:val="00351A0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57A2E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912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10103"/>
    <w:rsid w:val="00410EB7"/>
    <w:rsid w:val="00411895"/>
    <w:rsid w:val="0041302D"/>
    <w:rsid w:val="004136F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412"/>
    <w:rsid w:val="0042260E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0F58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4AB9"/>
    <w:rsid w:val="004969F1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84C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59E"/>
    <w:rsid w:val="004C19EB"/>
    <w:rsid w:val="004C2DDC"/>
    <w:rsid w:val="004C432C"/>
    <w:rsid w:val="004C4486"/>
    <w:rsid w:val="004C50DA"/>
    <w:rsid w:val="004C53D0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5B60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3DE1"/>
    <w:rsid w:val="00504602"/>
    <w:rsid w:val="005051EF"/>
    <w:rsid w:val="005069A8"/>
    <w:rsid w:val="00507A2C"/>
    <w:rsid w:val="00507CDD"/>
    <w:rsid w:val="00507DE4"/>
    <w:rsid w:val="0051169E"/>
    <w:rsid w:val="00511DA7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2A6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536D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517F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4ED9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3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6E6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06A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4A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EC5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1B71"/>
    <w:rsid w:val="007C2879"/>
    <w:rsid w:val="007C3704"/>
    <w:rsid w:val="007C3A61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337F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469DE"/>
    <w:rsid w:val="00850A59"/>
    <w:rsid w:val="0085203A"/>
    <w:rsid w:val="0085206C"/>
    <w:rsid w:val="00852674"/>
    <w:rsid w:val="00852DE0"/>
    <w:rsid w:val="00854284"/>
    <w:rsid w:val="0085516C"/>
    <w:rsid w:val="00855314"/>
    <w:rsid w:val="00855949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4F6"/>
    <w:rsid w:val="008F3E69"/>
    <w:rsid w:val="008F49DA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17BEB"/>
    <w:rsid w:val="009226EC"/>
    <w:rsid w:val="0092311C"/>
    <w:rsid w:val="00923701"/>
    <w:rsid w:val="009244A1"/>
    <w:rsid w:val="00925805"/>
    <w:rsid w:val="009258F1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6FD"/>
    <w:rsid w:val="00932DE6"/>
    <w:rsid w:val="009339EE"/>
    <w:rsid w:val="00933C12"/>
    <w:rsid w:val="0093417C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B30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6B0B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1B16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56B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648A"/>
    <w:rsid w:val="00A57385"/>
    <w:rsid w:val="00A57818"/>
    <w:rsid w:val="00A57DEC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85C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1DA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0BA2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148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4A85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233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38D"/>
    <w:rsid w:val="00C157C8"/>
    <w:rsid w:val="00C15E85"/>
    <w:rsid w:val="00C16832"/>
    <w:rsid w:val="00C1692B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AEC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5CB7"/>
    <w:rsid w:val="00C768C4"/>
    <w:rsid w:val="00C771C3"/>
    <w:rsid w:val="00C809A2"/>
    <w:rsid w:val="00C80EEE"/>
    <w:rsid w:val="00C81236"/>
    <w:rsid w:val="00C81628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1E2"/>
    <w:rsid w:val="00CA5E48"/>
    <w:rsid w:val="00CA602C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1EB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2B5"/>
    <w:rsid w:val="00D433FF"/>
    <w:rsid w:val="00D43CB1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2212"/>
    <w:rsid w:val="00D52C33"/>
    <w:rsid w:val="00D53681"/>
    <w:rsid w:val="00D53892"/>
    <w:rsid w:val="00D56C1E"/>
    <w:rsid w:val="00D576FE"/>
    <w:rsid w:val="00D60635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F8"/>
    <w:rsid w:val="00D733C4"/>
    <w:rsid w:val="00D735D1"/>
    <w:rsid w:val="00D747D0"/>
    <w:rsid w:val="00D76036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1CAB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054A"/>
    <w:rsid w:val="00DC169C"/>
    <w:rsid w:val="00DC1A8F"/>
    <w:rsid w:val="00DC2037"/>
    <w:rsid w:val="00DC36E9"/>
    <w:rsid w:val="00DC3705"/>
    <w:rsid w:val="00DC3CA0"/>
    <w:rsid w:val="00DC5C58"/>
    <w:rsid w:val="00DC5E58"/>
    <w:rsid w:val="00DC72EF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689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C69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EF8C3-009E-4AE9-A935-D439A657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2143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2026-03-15T16:39:00Z</cp:lastPrinted>
  <dcterms:created xsi:type="dcterms:W3CDTF">2026-04-13T16:55:00Z</dcterms:created>
  <dcterms:modified xsi:type="dcterms:W3CDTF">2026-04-13T16:55:00Z</dcterms:modified>
</cp:coreProperties>
</file>